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2A" w:rsidRPr="004B492A" w:rsidRDefault="004B492A" w:rsidP="004B492A">
      <w:pPr>
        <w:jc w:val="center"/>
        <w:rPr>
          <w:b/>
          <w:sz w:val="28"/>
          <w:szCs w:val="28"/>
        </w:rPr>
      </w:pPr>
      <w:r w:rsidRPr="004B492A">
        <w:rPr>
          <w:b/>
          <w:sz w:val="28"/>
          <w:szCs w:val="28"/>
        </w:rPr>
        <w:t>TALLER</w:t>
      </w:r>
    </w:p>
    <w:p w:rsidR="004B492A" w:rsidRDefault="004B492A" w:rsidP="004B492A">
      <w:pPr>
        <w:jc w:val="center"/>
        <w:rPr>
          <w:b/>
          <w:sz w:val="28"/>
          <w:szCs w:val="28"/>
        </w:rPr>
      </w:pPr>
      <w:r w:rsidRPr="004B492A">
        <w:rPr>
          <w:b/>
          <w:sz w:val="28"/>
          <w:szCs w:val="28"/>
        </w:rPr>
        <w:t>CONTRATOS DE LEASING</w:t>
      </w:r>
    </w:p>
    <w:p w:rsidR="00FF63AE" w:rsidRPr="00FF63AE" w:rsidRDefault="00FF63AE" w:rsidP="00FF63AE">
      <w:pPr>
        <w:jc w:val="center"/>
        <w:rPr>
          <w:b/>
          <w:sz w:val="28"/>
          <w:szCs w:val="28"/>
        </w:rPr>
      </w:pPr>
      <w:r w:rsidRPr="00FF63AE">
        <w:rPr>
          <w:b/>
          <w:sz w:val="28"/>
          <w:szCs w:val="28"/>
        </w:rPr>
        <w:t>CLASIFICACION Y CONTABILIZACION DE LEASING</w:t>
      </w:r>
      <w:r w:rsidR="007C71EF">
        <w:rPr>
          <w:b/>
          <w:sz w:val="28"/>
          <w:szCs w:val="28"/>
        </w:rPr>
        <w:t xml:space="preserve"> </w:t>
      </w:r>
      <w:r w:rsidRPr="00FF63AE">
        <w:rPr>
          <w:b/>
          <w:sz w:val="28"/>
          <w:szCs w:val="28"/>
        </w:rPr>
        <w:t>FINANCIERO SEGÚN LAS NIIF</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Se clasifica como financiero, cuando se transfiere sustancialmente todos los riesgos y ventajas</w:t>
      </w:r>
    </w:p>
    <w:p w:rsidR="004D00EC" w:rsidRDefault="007C71EF"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Inherentes</w:t>
      </w:r>
      <w:r w:rsidR="004D00EC">
        <w:rPr>
          <w:rFonts w:ascii="DejaVuSans" w:hAnsi="DejaVuSans" w:cs="DejaVuSans"/>
          <w:sz w:val="18"/>
          <w:szCs w:val="18"/>
        </w:rPr>
        <w:t xml:space="preserve"> a la propiedad (NIC 17, P.8).</w:t>
      </w:r>
    </w:p>
    <w:p w:rsidR="00371BD8" w:rsidRDefault="00371BD8" w:rsidP="00371BD8">
      <w:pPr>
        <w:autoSpaceDE w:val="0"/>
        <w:autoSpaceDN w:val="0"/>
        <w:adjustRightInd w:val="0"/>
        <w:spacing w:after="0" w:line="240" w:lineRule="auto"/>
        <w:rPr>
          <w:rFonts w:ascii="DejaVuSans" w:hAnsi="DejaVuSans" w:cs="DejaVuSans"/>
          <w:sz w:val="18"/>
          <w:szCs w:val="18"/>
        </w:rPr>
      </w:pPr>
    </w:p>
    <w:p w:rsidR="003B1AA7" w:rsidRDefault="00371BD8" w:rsidP="00371BD8">
      <w:pPr>
        <w:autoSpaceDE w:val="0"/>
        <w:autoSpaceDN w:val="0"/>
        <w:adjustRightInd w:val="0"/>
        <w:spacing w:after="0" w:line="240" w:lineRule="auto"/>
        <w:rPr>
          <w:rFonts w:ascii="DejaVuSans" w:hAnsi="DejaVuSans" w:cs="DejaVuSans"/>
          <w:sz w:val="18"/>
          <w:szCs w:val="18"/>
        </w:rPr>
      </w:pPr>
      <w:r w:rsidRPr="00371BD8">
        <w:rPr>
          <w:rFonts w:ascii="DejaVuSans" w:hAnsi="DejaVuSans" w:cs="DejaVuSans"/>
          <w:sz w:val="18"/>
          <w:szCs w:val="18"/>
        </w:rPr>
        <w:t xml:space="preserve">” (art.127-1, parágrafo 4, del </w:t>
      </w:r>
      <w:r>
        <w:rPr>
          <w:rFonts w:ascii="DejaVuSans" w:hAnsi="DejaVuSans" w:cs="DejaVuSans"/>
          <w:sz w:val="18"/>
          <w:szCs w:val="18"/>
        </w:rPr>
        <w:t xml:space="preserve"> </w:t>
      </w:r>
      <w:r w:rsidRPr="00371BD8">
        <w:rPr>
          <w:rFonts w:ascii="DejaVuSans" w:hAnsi="DejaVuSans" w:cs="DejaVuSans"/>
          <w:sz w:val="18"/>
          <w:szCs w:val="18"/>
        </w:rPr>
        <w:t>ET, modificado con art.65 ley 1111/06).</w:t>
      </w:r>
    </w:p>
    <w:p w:rsidR="00371BD8" w:rsidRDefault="00371BD8"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Algunos criterios son:</w:t>
      </w:r>
    </w:p>
    <w:p w:rsidR="003B1AA7" w:rsidRDefault="003B1AA7"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a</w:t>
      </w:r>
      <w:r>
        <w:rPr>
          <w:rFonts w:ascii="DejaVuSans" w:hAnsi="DejaVuSans" w:cs="DejaVuSans"/>
          <w:sz w:val="18"/>
          <w:szCs w:val="18"/>
        </w:rPr>
        <w:t>. Al finalizar el plazo de arrendamiento, el bien es transferido al arrendatario.</w:t>
      </w:r>
    </w:p>
    <w:p w:rsidR="007C71EF" w:rsidRDefault="007C71EF"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b.</w:t>
      </w:r>
      <w:r>
        <w:rPr>
          <w:rFonts w:ascii="DejaVuSans" w:hAnsi="DejaVuSans" w:cs="DejaVuSans"/>
          <w:sz w:val="18"/>
          <w:szCs w:val="18"/>
        </w:rPr>
        <w:t xml:space="preserve"> Existe la opción de compra del activo a un precio inferior al valor razonable del bien.</w:t>
      </w:r>
    </w:p>
    <w:p w:rsidR="007C71EF" w:rsidRDefault="007C71EF"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c.</w:t>
      </w:r>
      <w:r>
        <w:rPr>
          <w:rFonts w:ascii="DejaVuSans" w:hAnsi="DejaVuSans" w:cs="DejaVuSans"/>
          <w:sz w:val="18"/>
          <w:szCs w:val="18"/>
        </w:rPr>
        <w:t xml:space="preserve"> El plazo del arrendamiento cubre la mayor parte de la vida económica del activo.</w:t>
      </w:r>
    </w:p>
    <w:p w:rsidR="007C71EF" w:rsidRDefault="007C71EF"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d.</w:t>
      </w:r>
      <w:r>
        <w:rPr>
          <w:rFonts w:ascii="DejaVuSans" w:hAnsi="DejaVuSans" w:cs="DejaVuSans"/>
          <w:sz w:val="18"/>
          <w:szCs w:val="18"/>
        </w:rPr>
        <w:t xml:space="preserve"> Al inicio del arrendamiento, el valor presente de los pagos mínimos del arrendamiento,</w:t>
      </w:r>
    </w:p>
    <w:p w:rsidR="004D00EC" w:rsidRDefault="004D00EC" w:rsidP="004D00EC">
      <w:pPr>
        <w:autoSpaceDE w:val="0"/>
        <w:autoSpaceDN w:val="0"/>
        <w:adjustRightInd w:val="0"/>
        <w:spacing w:after="0" w:line="240" w:lineRule="auto"/>
        <w:rPr>
          <w:rFonts w:ascii="DejaVuSans" w:hAnsi="DejaVuSans" w:cs="DejaVuSans"/>
          <w:sz w:val="18"/>
          <w:szCs w:val="18"/>
        </w:rPr>
      </w:pPr>
      <w:proofErr w:type="gramStart"/>
      <w:r>
        <w:rPr>
          <w:rFonts w:ascii="DejaVuSans" w:hAnsi="DejaVuSans" w:cs="DejaVuSans"/>
          <w:sz w:val="18"/>
          <w:szCs w:val="18"/>
        </w:rPr>
        <w:t>es</w:t>
      </w:r>
      <w:proofErr w:type="gramEnd"/>
      <w:r>
        <w:rPr>
          <w:rFonts w:ascii="DejaVuSans" w:hAnsi="DejaVuSans" w:cs="DejaVuSans"/>
          <w:sz w:val="18"/>
          <w:szCs w:val="18"/>
        </w:rPr>
        <w:t xml:space="preserve"> al menos equivalente al valor razonable del activo.</w:t>
      </w:r>
    </w:p>
    <w:p w:rsidR="00A16EAD" w:rsidRDefault="00A16EAD"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e.</w:t>
      </w:r>
      <w:r>
        <w:rPr>
          <w:rFonts w:ascii="DejaVuSans" w:hAnsi="DejaVuSans" w:cs="DejaVuSans"/>
          <w:sz w:val="18"/>
          <w:szCs w:val="18"/>
        </w:rPr>
        <w:t xml:space="preserve"> Los activos arrendados son de uso especializado del arrendatario.</w:t>
      </w:r>
    </w:p>
    <w:p w:rsidR="00A16EAD" w:rsidRDefault="00A16EAD"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f.</w:t>
      </w:r>
      <w:r>
        <w:rPr>
          <w:rFonts w:ascii="DejaVuSans" w:hAnsi="DejaVuSans" w:cs="DejaVuSans"/>
          <w:sz w:val="18"/>
          <w:szCs w:val="18"/>
        </w:rPr>
        <w:t xml:space="preserve"> El arrendatario, tiene la opción de cancelar el arrendamiento, asumiendo las perdidas</w:t>
      </w:r>
    </w:p>
    <w:p w:rsidR="004D00EC" w:rsidRDefault="004D00EC" w:rsidP="004D00EC">
      <w:pPr>
        <w:autoSpaceDE w:val="0"/>
        <w:autoSpaceDN w:val="0"/>
        <w:adjustRightInd w:val="0"/>
        <w:spacing w:after="0" w:line="240" w:lineRule="auto"/>
        <w:rPr>
          <w:rFonts w:ascii="DejaVuSans" w:hAnsi="DejaVuSans" w:cs="DejaVuSans"/>
          <w:sz w:val="18"/>
          <w:szCs w:val="18"/>
        </w:rPr>
      </w:pPr>
      <w:proofErr w:type="gramStart"/>
      <w:r>
        <w:rPr>
          <w:rFonts w:ascii="DejaVuSans" w:hAnsi="DejaVuSans" w:cs="DejaVuSans"/>
          <w:sz w:val="18"/>
          <w:szCs w:val="18"/>
        </w:rPr>
        <w:t>en</w:t>
      </w:r>
      <w:proofErr w:type="gramEnd"/>
      <w:r>
        <w:rPr>
          <w:rFonts w:ascii="DejaVuSans" w:hAnsi="DejaVuSans" w:cs="DejaVuSans"/>
          <w:sz w:val="18"/>
          <w:szCs w:val="18"/>
        </w:rPr>
        <w:t xml:space="preserve"> que haya incurrido.</w:t>
      </w:r>
    </w:p>
    <w:p w:rsidR="00A16EAD" w:rsidRDefault="00A16EAD"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g.</w:t>
      </w:r>
      <w:r>
        <w:rPr>
          <w:rFonts w:ascii="DejaVuSans" w:hAnsi="DejaVuSans" w:cs="DejaVuSans"/>
          <w:sz w:val="18"/>
          <w:szCs w:val="18"/>
        </w:rPr>
        <w:t xml:space="preserve"> Las pérdidas o ganancias recaen sobre el arrendatario</w:t>
      </w:r>
    </w:p>
    <w:p w:rsidR="00A16EAD" w:rsidRDefault="00A16EAD" w:rsidP="004D00EC">
      <w:pPr>
        <w:autoSpaceDE w:val="0"/>
        <w:autoSpaceDN w:val="0"/>
        <w:adjustRightInd w:val="0"/>
        <w:spacing w:after="0" w:line="240" w:lineRule="auto"/>
        <w:rPr>
          <w:rFonts w:ascii="DejaVuSans" w:hAnsi="DejaVuSans" w:cs="DejaVuSans"/>
          <w:b/>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h.</w:t>
      </w:r>
      <w:r>
        <w:rPr>
          <w:rFonts w:ascii="DejaVuSans" w:hAnsi="DejaVuSans" w:cs="DejaVuSans"/>
          <w:sz w:val="18"/>
          <w:szCs w:val="18"/>
        </w:rPr>
        <w:t xml:space="preserve"> Existe la opción de prorrogar el arrendamiento durante un segundo periodo, con unos</w:t>
      </w:r>
    </w:p>
    <w:p w:rsidR="004D00EC" w:rsidRDefault="004D00EC" w:rsidP="004D00EC">
      <w:pPr>
        <w:autoSpaceDE w:val="0"/>
        <w:autoSpaceDN w:val="0"/>
        <w:adjustRightInd w:val="0"/>
        <w:spacing w:after="0" w:line="240" w:lineRule="auto"/>
        <w:rPr>
          <w:rFonts w:ascii="DejaVuSans" w:hAnsi="DejaVuSans" w:cs="DejaVuSans"/>
          <w:sz w:val="18"/>
          <w:szCs w:val="18"/>
        </w:rPr>
      </w:pPr>
      <w:proofErr w:type="gramStart"/>
      <w:r>
        <w:rPr>
          <w:rFonts w:ascii="DejaVuSans" w:hAnsi="DejaVuSans" w:cs="DejaVuSans"/>
          <w:sz w:val="18"/>
          <w:szCs w:val="18"/>
        </w:rPr>
        <w:t>pagos</w:t>
      </w:r>
      <w:proofErr w:type="gramEnd"/>
      <w:r>
        <w:rPr>
          <w:rFonts w:ascii="DejaVuSans" w:hAnsi="DejaVuSans" w:cs="DejaVuSans"/>
          <w:sz w:val="18"/>
          <w:szCs w:val="18"/>
        </w:rPr>
        <w:t xml:space="preserve"> inferiores a los establecidos inicialmente.</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CONTABILIZACION</w:t>
      </w:r>
    </w:p>
    <w:p w:rsidR="007C71EF" w:rsidRDefault="007C71EF"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1.</w:t>
      </w:r>
      <w:r>
        <w:rPr>
          <w:rFonts w:ascii="DejaVuSans" w:hAnsi="DejaVuSans" w:cs="DejaVuSans"/>
          <w:sz w:val="18"/>
          <w:szCs w:val="18"/>
        </w:rPr>
        <w:t xml:space="preserve"> El arrendatario debe contabilizar el bien como un activo</w:t>
      </w:r>
      <w:r w:rsidR="00E17E32">
        <w:rPr>
          <w:rFonts w:ascii="DejaVuSans" w:hAnsi="DejaVuSans" w:cs="DejaVuSans"/>
          <w:sz w:val="18"/>
          <w:szCs w:val="18"/>
        </w:rPr>
        <w:t xml:space="preserve"> intangible </w:t>
      </w:r>
      <w:r>
        <w:rPr>
          <w:rFonts w:ascii="DejaVuSans" w:hAnsi="DejaVuSans" w:cs="DejaVuSans"/>
          <w:sz w:val="18"/>
          <w:szCs w:val="18"/>
        </w:rPr>
        <w:t xml:space="preserve"> y un pasivo</w:t>
      </w:r>
    </w:p>
    <w:p w:rsidR="007C71EF" w:rsidRDefault="007C71EF"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sidRPr="007C71EF">
        <w:rPr>
          <w:rFonts w:ascii="DejaVuSans" w:hAnsi="DejaVuSans" w:cs="DejaVuSans"/>
          <w:b/>
          <w:sz w:val="18"/>
          <w:szCs w:val="18"/>
        </w:rPr>
        <w:t>2.</w:t>
      </w:r>
      <w:r>
        <w:rPr>
          <w:rFonts w:ascii="DejaVuSans" w:hAnsi="DejaVuSans" w:cs="DejaVuSans"/>
          <w:sz w:val="18"/>
          <w:szCs w:val="18"/>
        </w:rPr>
        <w:t xml:space="preserve"> El canon mensual de arrendamiento se debe dividir en abono a capital y en gasto</w:t>
      </w:r>
    </w:p>
    <w:p w:rsidR="004D00EC" w:rsidRDefault="0060710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Financiero</w:t>
      </w:r>
      <w:r w:rsidR="004D00EC">
        <w:rPr>
          <w:rFonts w:ascii="DejaVuSans" w:hAnsi="DejaVuSans" w:cs="DejaVuSans"/>
          <w:sz w:val="18"/>
          <w:szCs w:val="18"/>
        </w:rPr>
        <w:t>.</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CONTABILIZACION DEL CONTRATO DE LEASING</w:t>
      </w:r>
    </w:p>
    <w:p w:rsidR="00BA5DDC" w:rsidRDefault="00BA5DDC"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162535 En bienes Recibidos en Arr.financiero DB</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 xml:space="preserve">211520 Contratos de </w:t>
      </w:r>
      <w:proofErr w:type="spellStart"/>
      <w:r>
        <w:rPr>
          <w:rFonts w:ascii="DejaVuSans" w:hAnsi="DejaVuSans" w:cs="DejaVuSans"/>
          <w:sz w:val="18"/>
          <w:szCs w:val="18"/>
        </w:rPr>
        <w:t>arrend</w:t>
      </w:r>
      <w:proofErr w:type="spellEnd"/>
      <w:r>
        <w:rPr>
          <w:rFonts w:ascii="DejaVuSans" w:hAnsi="DejaVuSans" w:cs="DejaVuSans"/>
          <w:sz w:val="18"/>
          <w:szCs w:val="18"/>
        </w:rPr>
        <w:t xml:space="preserve"> fin (Leasing) CR</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CONTABILIZACION CUOTA ARRENDAMIENTO</w:t>
      </w:r>
    </w:p>
    <w:p w:rsidR="003D6F5B" w:rsidRDefault="003D6F5B"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5305 Gasto Financiero DB</w:t>
      </w:r>
      <w:r w:rsidR="006C0CF5">
        <w:rPr>
          <w:rFonts w:ascii="DejaVuSans" w:hAnsi="DejaVuSans" w:cs="DejaVuSans"/>
          <w:sz w:val="18"/>
          <w:szCs w:val="18"/>
        </w:rPr>
        <w:t xml:space="preserve"> </w:t>
      </w:r>
      <w:proofErr w:type="gramStart"/>
      <w:r w:rsidR="006C0CF5">
        <w:rPr>
          <w:rFonts w:ascii="DejaVuSans" w:hAnsi="DejaVuSans" w:cs="DejaVuSans"/>
          <w:sz w:val="18"/>
          <w:szCs w:val="18"/>
        </w:rPr>
        <w:t>( intereses</w:t>
      </w:r>
      <w:proofErr w:type="gramEnd"/>
      <w:r w:rsidR="006C0CF5">
        <w:rPr>
          <w:rFonts w:ascii="DejaVuSans" w:hAnsi="DejaVuSans" w:cs="DejaVuSans"/>
          <w:sz w:val="18"/>
          <w:szCs w:val="18"/>
        </w:rPr>
        <w:t>)</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 xml:space="preserve">211520 </w:t>
      </w:r>
      <w:proofErr w:type="spellStart"/>
      <w:r>
        <w:rPr>
          <w:rFonts w:ascii="DejaVuSans" w:hAnsi="DejaVuSans" w:cs="DejaVuSans"/>
          <w:sz w:val="18"/>
          <w:szCs w:val="18"/>
        </w:rPr>
        <w:t>Contr</w:t>
      </w:r>
      <w:proofErr w:type="spellEnd"/>
      <w:r>
        <w:rPr>
          <w:rFonts w:ascii="DejaVuSans" w:hAnsi="DejaVuSans" w:cs="DejaVuSans"/>
          <w:sz w:val="18"/>
          <w:szCs w:val="18"/>
        </w:rPr>
        <w:t xml:space="preserve">. </w:t>
      </w:r>
      <w:proofErr w:type="spellStart"/>
      <w:r>
        <w:rPr>
          <w:rFonts w:ascii="DejaVuSans" w:hAnsi="DejaVuSans" w:cs="DejaVuSans"/>
          <w:sz w:val="18"/>
          <w:szCs w:val="18"/>
        </w:rPr>
        <w:t>Arrend</w:t>
      </w:r>
      <w:proofErr w:type="spellEnd"/>
      <w:r>
        <w:rPr>
          <w:rFonts w:ascii="DejaVuSans" w:hAnsi="DejaVuSans" w:cs="DejaVuSans"/>
          <w:sz w:val="18"/>
          <w:szCs w:val="18"/>
        </w:rPr>
        <w:t xml:space="preserve">. </w:t>
      </w:r>
      <w:proofErr w:type="spellStart"/>
      <w:r>
        <w:rPr>
          <w:rFonts w:ascii="DejaVuSans" w:hAnsi="DejaVuSans" w:cs="DejaVuSans"/>
          <w:sz w:val="18"/>
          <w:szCs w:val="18"/>
        </w:rPr>
        <w:t>Financ</w:t>
      </w:r>
      <w:proofErr w:type="spellEnd"/>
      <w:r>
        <w:rPr>
          <w:rFonts w:ascii="DejaVuSans" w:hAnsi="DejaVuSans" w:cs="DejaVuSans"/>
          <w:sz w:val="18"/>
          <w:szCs w:val="18"/>
        </w:rPr>
        <w:t xml:space="preserve"> DB</w:t>
      </w:r>
      <w:r w:rsidR="006C0CF5">
        <w:rPr>
          <w:rFonts w:ascii="DejaVuSans" w:hAnsi="DejaVuSans" w:cs="DejaVuSans"/>
          <w:sz w:val="18"/>
          <w:szCs w:val="18"/>
        </w:rPr>
        <w:t xml:space="preserve"> </w:t>
      </w:r>
      <w:proofErr w:type="gramStart"/>
      <w:r w:rsidR="006C0CF5">
        <w:rPr>
          <w:rFonts w:ascii="DejaVuSans" w:hAnsi="DejaVuSans" w:cs="DejaVuSans"/>
          <w:sz w:val="18"/>
          <w:szCs w:val="18"/>
        </w:rPr>
        <w:t>( valor</w:t>
      </w:r>
      <w:proofErr w:type="gramEnd"/>
      <w:r w:rsidR="006C0CF5">
        <w:rPr>
          <w:rFonts w:ascii="DejaVuSans" w:hAnsi="DejaVuSans" w:cs="DejaVuSans"/>
          <w:sz w:val="18"/>
          <w:szCs w:val="18"/>
        </w:rPr>
        <w:t xml:space="preserve"> del capital )</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1110 Banco CR</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CONTABILIZACION DEPRECIACION</w:t>
      </w:r>
    </w:p>
    <w:p w:rsidR="003D6F5B" w:rsidRDefault="003D6F5B"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516510 Intangibles DB</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169830 Derechos CR</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CONTABILIZACION OPCION DE COMPRA</w:t>
      </w:r>
    </w:p>
    <w:p w:rsidR="003D6F5B" w:rsidRDefault="003D6F5B"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 xml:space="preserve">211520 </w:t>
      </w:r>
      <w:proofErr w:type="spellStart"/>
      <w:r>
        <w:rPr>
          <w:rFonts w:ascii="DejaVuSans" w:hAnsi="DejaVuSans" w:cs="DejaVuSans"/>
          <w:sz w:val="18"/>
          <w:szCs w:val="18"/>
        </w:rPr>
        <w:t>Contr</w:t>
      </w:r>
      <w:proofErr w:type="spellEnd"/>
      <w:r>
        <w:rPr>
          <w:rFonts w:ascii="DejaVuSans" w:hAnsi="DejaVuSans" w:cs="DejaVuSans"/>
          <w:sz w:val="18"/>
          <w:szCs w:val="18"/>
        </w:rPr>
        <w:t xml:space="preserve">. </w:t>
      </w:r>
      <w:proofErr w:type="spellStart"/>
      <w:r>
        <w:rPr>
          <w:rFonts w:ascii="DejaVuSans" w:hAnsi="DejaVuSans" w:cs="DejaVuSans"/>
          <w:sz w:val="18"/>
          <w:szCs w:val="18"/>
        </w:rPr>
        <w:t>Arrend</w:t>
      </w:r>
      <w:proofErr w:type="spellEnd"/>
      <w:r>
        <w:rPr>
          <w:rFonts w:ascii="DejaVuSans" w:hAnsi="DejaVuSans" w:cs="DejaVuSans"/>
          <w:sz w:val="18"/>
          <w:szCs w:val="18"/>
        </w:rPr>
        <w:t xml:space="preserve">. </w:t>
      </w:r>
      <w:proofErr w:type="spellStart"/>
      <w:r>
        <w:rPr>
          <w:rFonts w:ascii="DejaVuSans" w:hAnsi="DejaVuSans" w:cs="DejaVuSans"/>
          <w:sz w:val="18"/>
          <w:szCs w:val="18"/>
        </w:rPr>
        <w:t>Financ</w:t>
      </w:r>
      <w:proofErr w:type="spellEnd"/>
      <w:r>
        <w:rPr>
          <w:rFonts w:ascii="DejaVuSans" w:hAnsi="DejaVuSans" w:cs="DejaVuSans"/>
          <w:sz w:val="18"/>
          <w:szCs w:val="18"/>
        </w:rPr>
        <w:t xml:space="preserve"> DB</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1110 Bancos Cr</w:t>
      </w:r>
    </w:p>
    <w:p w:rsidR="009101B9" w:rsidRDefault="009101B9"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15 Activo DB</w:t>
      </w:r>
    </w:p>
    <w:p w:rsidR="00766385" w:rsidRDefault="00766385" w:rsidP="00766385">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 xml:space="preserve">162535 En bienes Recibidos en Arr.financiero </w:t>
      </w:r>
      <w:r>
        <w:rPr>
          <w:rFonts w:ascii="DejaVuSans" w:hAnsi="DejaVuSans" w:cs="DejaVuSans"/>
          <w:sz w:val="18"/>
          <w:szCs w:val="18"/>
        </w:rPr>
        <w:t xml:space="preserve"> CR</w:t>
      </w:r>
    </w:p>
    <w:p w:rsidR="00766385" w:rsidRDefault="00766385"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169830 Derechos DB</w:t>
      </w: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1592 Depreciación CR</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CF7DEB" w:rsidRDefault="00CF7DEB"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LEASING OPERATIVO</w:t>
      </w:r>
    </w:p>
    <w:p w:rsidR="00CF7DEB" w:rsidRDefault="00CF7DEB"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CRITERIO</w:t>
      </w:r>
      <w:r w:rsidR="00CF7DEB">
        <w:rPr>
          <w:rFonts w:ascii="DejaVuSans-Bold" w:hAnsi="DejaVuSans-Bold" w:cs="DejaVuSans-Bold"/>
          <w:b/>
          <w:bCs/>
          <w:sz w:val="18"/>
          <w:szCs w:val="18"/>
        </w:rPr>
        <w:t xml:space="preserve">: </w:t>
      </w:r>
      <w:r w:rsidR="00CF7DEB" w:rsidRPr="00CF7DEB">
        <w:rPr>
          <w:rFonts w:ascii="DejaVuSans-Bold" w:hAnsi="DejaVuSans-Bold" w:cs="DejaVuSans-Bold"/>
          <w:bCs/>
          <w:sz w:val="18"/>
          <w:szCs w:val="18"/>
          <w:u w:val="single"/>
        </w:rPr>
        <w:t>Se incluye a manera informativa mas no se encuentra vigente</w:t>
      </w:r>
      <w:r w:rsidR="00CF7DEB">
        <w:rPr>
          <w:rFonts w:ascii="DejaVuSans-Bold" w:hAnsi="DejaVuSans-Bold" w:cs="DejaVuSans-Bold"/>
          <w:b/>
          <w:bCs/>
          <w:sz w:val="18"/>
          <w:szCs w:val="18"/>
        </w:rPr>
        <w:t xml:space="preserve"> </w:t>
      </w:r>
    </w:p>
    <w:p w:rsidR="00027978" w:rsidRDefault="00027978" w:rsidP="004D00EC">
      <w:pPr>
        <w:autoSpaceDE w:val="0"/>
        <w:autoSpaceDN w:val="0"/>
        <w:adjustRightInd w:val="0"/>
        <w:spacing w:after="0" w:line="240" w:lineRule="auto"/>
        <w:rPr>
          <w:rFonts w:ascii="DejaVuSans" w:hAnsi="DejaVuSans" w:cs="DejaVuSan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Se clasifica como Operativo, si no se han transferido sustancialmente todos los riesgos y</w:t>
      </w:r>
    </w:p>
    <w:p w:rsidR="004D00EC" w:rsidRDefault="00027978"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Ventajas</w:t>
      </w:r>
      <w:r w:rsidR="004D00EC">
        <w:rPr>
          <w:rFonts w:ascii="DejaVuSans" w:hAnsi="DejaVuSans" w:cs="DejaVuSans"/>
          <w:sz w:val="18"/>
          <w:szCs w:val="18"/>
        </w:rPr>
        <w:t xml:space="preserve"> inherentes a la propiedad (NIC17, P.8)</w:t>
      </w:r>
    </w:p>
    <w:p w:rsidR="003B1AA7" w:rsidRDefault="003B1AA7"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Bold" w:hAnsi="DejaVuSans-Bold" w:cs="DejaVuSans-Bold"/>
          <w:b/>
          <w:bCs/>
          <w:sz w:val="18"/>
          <w:szCs w:val="18"/>
        </w:rPr>
      </w:pPr>
      <w:r>
        <w:rPr>
          <w:rFonts w:ascii="DejaVuSans-Bold" w:hAnsi="DejaVuSans-Bold" w:cs="DejaVuSans-Bold"/>
          <w:b/>
          <w:bCs/>
          <w:sz w:val="18"/>
          <w:szCs w:val="18"/>
        </w:rPr>
        <w:t>CONTABILIZACION DE CANONES</w:t>
      </w:r>
    </w:p>
    <w:p w:rsidR="00027978" w:rsidRDefault="00027978" w:rsidP="004D00EC">
      <w:pPr>
        <w:autoSpaceDE w:val="0"/>
        <w:autoSpaceDN w:val="0"/>
        <w:adjustRightInd w:val="0"/>
        <w:spacing w:after="0" w:line="240" w:lineRule="auto"/>
        <w:rPr>
          <w:rFonts w:ascii="DejaVuSans-Bold" w:hAnsi="DejaVuSans-Bold" w:cs="DejaVuSans-Bold"/>
          <w:b/>
          <w:bCs/>
          <w:sz w:val="18"/>
          <w:szCs w:val="18"/>
        </w:rPr>
      </w:pPr>
    </w:p>
    <w:p w:rsidR="004D00EC" w:rsidRDefault="004D00EC" w:rsidP="004D00EC">
      <w:pPr>
        <w:autoSpaceDE w:val="0"/>
        <w:autoSpaceDN w:val="0"/>
        <w:adjustRightInd w:val="0"/>
        <w:spacing w:after="0" w:line="240" w:lineRule="auto"/>
        <w:rPr>
          <w:rFonts w:ascii="DejaVuSans" w:hAnsi="DejaVuSans" w:cs="DejaVuSans"/>
          <w:sz w:val="18"/>
          <w:szCs w:val="18"/>
        </w:rPr>
      </w:pPr>
      <w:r>
        <w:rPr>
          <w:rFonts w:ascii="DejaVuSans" w:hAnsi="DejaVuSans" w:cs="DejaVuSans"/>
          <w:sz w:val="18"/>
          <w:szCs w:val="18"/>
        </w:rPr>
        <w:t>5120 Gastos Arrendamiento</w:t>
      </w:r>
    </w:p>
    <w:p w:rsidR="00445F5A" w:rsidRDefault="004D00EC" w:rsidP="004D00EC">
      <w:pPr>
        <w:rPr>
          <w:rFonts w:ascii="DejaVuSans" w:hAnsi="DejaVuSans" w:cs="DejaVuSans"/>
          <w:sz w:val="18"/>
          <w:szCs w:val="18"/>
        </w:rPr>
      </w:pPr>
      <w:r>
        <w:rPr>
          <w:rFonts w:ascii="DejaVuSans" w:hAnsi="DejaVuSans" w:cs="DejaVuSans"/>
          <w:sz w:val="18"/>
          <w:szCs w:val="18"/>
        </w:rPr>
        <w:t>1110 Bancos</w:t>
      </w:r>
      <w:r w:rsidR="00027978">
        <w:rPr>
          <w:rFonts w:ascii="DejaVuSans" w:hAnsi="DejaVuSans" w:cs="DejaVuSans"/>
          <w:sz w:val="18"/>
          <w:szCs w:val="18"/>
        </w:rPr>
        <w:t xml:space="preserve"> </w:t>
      </w:r>
    </w:p>
    <w:p w:rsidR="00445F5A" w:rsidRDefault="00445F5A" w:rsidP="004D00EC">
      <w:pPr>
        <w:rPr>
          <w:rFonts w:ascii="DejaVuSans" w:hAnsi="DejaVuSans" w:cs="DejaVuSans"/>
          <w:sz w:val="18"/>
          <w:szCs w:val="18"/>
        </w:rPr>
      </w:pPr>
    </w:p>
    <w:p w:rsidR="00445F5A" w:rsidRPr="006C5A95" w:rsidRDefault="00445F5A" w:rsidP="00445F5A">
      <w:pPr>
        <w:jc w:val="center"/>
      </w:pPr>
      <w:r w:rsidRPr="006C5A95">
        <w:rPr>
          <w:rFonts w:ascii="DejaVuSans" w:hAnsi="DejaVuSans" w:cs="DejaVuSans"/>
          <w:b/>
        </w:rPr>
        <w:t>EJERCICIO 1.</w:t>
      </w:r>
    </w:p>
    <w:p w:rsidR="00DB31A6" w:rsidRDefault="00DB31A6" w:rsidP="004D00EC">
      <w:r>
        <w:t>Contabiliza</w:t>
      </w:r>
      <w:r w:rsidR="001E2D88">
        <w:t xml:space="preserve">r  un leasing </w:t>
      </w:r>
      <w:r>
        <w:t xml:space="preserve"> financiero por </w:t>
      </w:r>
      <w:r w:rsidR="00930F8B">
        <w:t>36 meses (</w:t>
      </w:r>
      <w:r>
        <w:t>tres años</w:t>
      </w:r>
      <w:r w:rsidR="00930F8B">
        <w:t>)</w:t>
      </w:r>
      <w:r>
        <w:t xml:space="preserve"> de un vehículo por </w:t>
      </w:r>
      <w:r w:rsidR="00FB1748">
        <w:t>$</w:t>
      </w:r>
      <w:r>
        <w:t xml:space="preserve">40.000.000, incluida una opción de compra por </w:t>
      </w:r>
      <w:r w:rsidR="00FB1748">
        <w:t>$</w:t>
      </w:r>
      <w:r>
        <w:t>4.000.000.</w:t>
      </w:r>
    </w:p>
    <w:p w:rsidR="00DB31A6" w:rsidRDefault="00FB1748" w:rsidP="00DB31A6">
      <w:r>
        <w:t xml:space="preserve">Con un canon mensual </w:t>
      </w:r>
      <w:bookmarkStart w:id="0" w:name="_GoBack"/>
      <w:bookmarkEnd w:id="0"/>
      <w:r>
        <w:t xml:space="preserve"> f</w:t>
      </w:r>
      <w:r w:rsidR="00DB31A6">
        <w:t xml:space="preserve">ijo de </w:t>
      </w:r>
      <w:r>
        <w:t>$</w:t>
      </w:r>
      <w:r w:rsidR="00DB31A6">
        <w:t>1.000.000, de los cuales,</w:t>
      </w:r>
      <w:r>
        <w:t>$</w:t>
      </w:r>
      <w:r w:rsidR="00DB31A6">
        <w:t xml:space="preserve"> 200.000 corresponden al gasto financiero</w:t>
      </w:r>
      <w:r w:rsidR="00930F8B">
        <w:t xml:space="preserve"> por intereses</w:t>
      </w:r>
      <w:r w:rsidR="00DB31A6">
        <w:t>)</w:t>
      </w:r>
    </w:p>
    <w:p w:rsidR="00FB1748" w:rsidRDefault="00FB1748" w:rsidP="00FB1748">
      <w:pPr>
        <w:pStyle w:val="Prrafodelista"/>
      </w:pPr>
    </w:p>
    <w:p w:rsidR="003F4480" w:rsidRPr="004B492A" w:rsidRDefault="003F4480" w:rsidP="003F4480">
      <w:pPr>
        <w:pStyle w:val="Prrafodelista"/>
        <w:numPr>
          <w:ilvl w:val="0"/>
          <w:numId w:val="3"/>
        </w:numPr>
      </w:pPr>
      <w:r w:rsidRPr="004B492A">
        <w:rPr>
          <w:bCs/>
        </w:rPr>
        <w:t>Contabilizar la adquisición</w:t>
      </w:r>
    </w:p>
    <w:p w:rsidR="003F4480" w:rsidRPr="004B492A" w:rsidRDefault="003F4480" w:rsidP="003F4480">
      <w:pPr>
        <w:pStyle w:val="Prrafodelista"/>
        <w:numPr>
          <w:ilvl w:val="0"/>
          <w:numId w:val="3"/>
        </w:numPr>
      </w:pPr>
      <w:r w:rsidRPr="004B492A">
        <w:rPr>
          <w:bCs/>
        </w:rPr>
        <w:t>Contabilizar  un pago mensual</w:t>
      </w:r>
      <w:r w:rsidR="003D6F5B">
        <w:rPr>
          <w:bCs/>
        </w:rPr>
        <w:t xml:space="preserve"> (</w:t>
      </w:r>
      <w:r w:rsidR="003D6F5B">
        <w:rPr>
          <w:rFonts w:ascii="Arial" w:hAnsi="Arial" w:cs="Arial"/>
          <w:color w:val="000000"/>
          <w:sz w:val="18"/>
          <w:szCs w:val="18"/>
          <w:shd w:val="clear" w:color="auto" w:fill="FFFFFF"/>
        </w:rPr>
        <w:t>art. 476 numeral 3 del E.T.</w:t>
      </w:r>
      <w:r w:rsidR="003D6F5B">
        <w:rPr>
          <w:rFonts w:ascii="Arial" w:hAnsi="Arial" w:cs="Arial"/>
          <w:color w:val="000000"/>
          <w:sz w:val="18"/>
          <w:szCs w:val="18"/>
          <w:shd w:val="clear" w:color="auto" w:fill="FFFFFF"/>
        </w:rPr>
        <w:t>).</w:t>
      </w:r>
    </w:p>
    <w:p w:rsidR="003F4480" w:rsidRDefault="003F4480" w:rsidP="003F4480">
      <w:pPr>
        <w:pStyle w:val="Prrafodelista"/>
        <w:numPr>
          <w:ilvl w:val="0"/>
          <w:numId w:val="3"/>
        </w:numPr>
      </w:pPr>
      <w:r>
        <w:t>Contabilización de la depreciación mensual</w:t>
      </w:r>
    </w:p>
    <w:p w:rsidR="003F4480" w:rsidRDefault="003F4480" w:rsidP="003F4480">
      <w:pPr>
        <w:pStyle w:val="Prrafodelista"/>
        <w:numPr>
          <w:ilvl w:val="0"/>
          <w:numId w:val="3"/>
        </w:numPr>
      </w:pPr>
      <w:r>
        <w:t>Contabilización del uso de la opción de compra</w:t>
      </w:r>
    </w:p>
    <w:p w:rsidR="003F4480" w:rsidRDefault="003F4480" w:rsidP="00FB1748">
      <w:pPr>
        <w:pStyle w:val="Prrafodelista"/>
      </w:pPr>
    </w:p>
    <w:p w:rsidR="006339E4" w:rsidRDefault="006339E4" w:rsidP="00FB1748">
      <w:pPr>
        <w:pStyle w:val="Prrafodelista"/>
      </w:pPr>
    </w:p>
    <w:p w:rsidR="00DB31A6" w:rsidRDefault="00DC4BD1" w:rsidP="00F00A30">
      <w:pPr>
        <w:pStyle w:val="Prrafodelista"/>
        <w:jc w:val="both"/>
      </w:pPr>
      <w:r w:rsidRPr="00DC4BD1">
        <w:rPr>
          <w:b/>
        </w:rPr>
        <w:t xml:space="preserve">Nota: </w:t>
      </w:r>
      <w:r w:rsidR="00DB31A6">
        <w:t xml:space="preserve">Por </w:t>
      </w:r>
      <w:r w:rsidR="00D17521">
        <w:t xml:space="preserve">practicidad en el </w:t>
      </w:r>
      <w:r w:rsidR="00A3227A">
        <w:t>ejercicio,</w:t>
      </w:r>
      <w:r w:rsidR="00DB31A6">
        <w:t xml:space="preserve"> sólo se ha calculado y contabilizado el primer mes. Para el cálculo de los meses siguientes, se debe tener claro que se trata de una amortización de un crédito, por lo que se deben aplicar los conceptos de matemáticas financieras, lo que significa que el segundo mes, la amortización de capital es superior al primer mes, y el costo financiero es menor al primer mes, así sucesivamente hasta amortizar todo el valor.</w:t>
      </w:r>
    </w:p>
    <w:p w:rsidR="001E2D88" w:rsidRDefault="001E2D88" w:rsidP="001E2D88">
      <w:pPr>
        <w:pStyle w:val="Prrafodelista"/>
      </w:pPr>
    </w:p>
    <w:p w:rsidR="001E2D88" w:rsidRDefault="001E2D88" w:rsidP="001E2D88">
      <w:pPr>
        <w:pStyle w:val="Prrafodelista"/>
      </w:pPr>
    </w:p>
    <w:p w:rsidR="006C5A95" w:rsidRPr="006C5A95" w:rsidRDefault="006C5A95" w:rsidP="006C5A95">
      <w:pPr>
        <w:jc w:val="center"/>
        <w:rPr>
          <w:sz w:val="20"/>
          <w:szCs w:val="20"/>
        </w:rPr>
      </w:pPr>
      <w:r w:rsidRPr="006C5A95">
        <w:rPr>
          <w:rFonts w:ascii="DejaVuSans" w:hAnsi="DejaVuSans" w:cs="DejaVuSans"/>
          <w:b/>
          <w:sz w:val="20"/>
          <w:szCs w:val="20"/>
        </w:rPr>
        <w:t xml:space="preserve">EJERCICIO </w:t>
      </w:r>
      <w:r w:rsidRPr="006C5A95">
        <w:rPr>
          <w:rFonts w:ascii="DejaVuSans" w:hAnsi="DejaVuSans" w:cs="DejaVuSans"/>
          <w:b/>
          <w:sz w:val="20"/>
          <w:szCs w:val="20"/>
        </w:rPr>
        <w:t>2</w:t>
      </w:r>
      <w:r w:rsidRPr="006C5A95">
        <w:rPr>
          <w:rFonts w:ascii="DejaVuSans" w:hAnsi="DejaVuSans" w:cs="DejaVuSans"/>
          <w:b/>
          <w:sz w:val="20"/>
          <w:szCs w:val="20"/>
        </w:rPr>
        <w:t>.</w:t>
      </w:r>
    </w:p>
    <w:p w:rsidR="00954B69" w:rsidRDefault="00954B69" w:rsidP="00954B69">
      <w:pPr>
        <w:pStyle w:val="Prrafodelista"/>
      </w:pPr>
    </w:p>
    <w:p w:rsidR="00954B69" w:rsidRPr="00954B69" w:rsidRDefault="00954B69" w:rsidP="00954B69">
      <w:pPr>
        <w:shd w:val="clear" w:color="auto" w:fill="FFFFFF"/>
        <w:spacing w:after="0" w:line="240" w:lineRule="auto"/>
        <w:jc w:val="center"/>
        <w:outlineLvl w:val="0"/>
        <w:rPr>
          <w:rFonts w:ascii="Trebuchet MS" w:eastAsia="Times New Roman" w:hAnsi="Trebuchet MS" w:cs="Times New Roman"/>
          <w:b/>
          <w:bCs/>
          <w:kern w:val="36"/>
          <w:sz w:val="24"/>
          <w:szCs w:val="24"/>
          <w:lang w:eastAsia="es-CO"/>
        </w:rPr>
      </w:pPr>
      <w:r w:rsidRPr="00954B69">
        <w:rPr>
          <w:rFonts w:ascii="Trebuchet MS" w:eastAsia="Times New Roman" w:hAnsi="Trebuchet MS" w:cs="Times New Roman"/>
          <w:b/>
          <w:bCs/>
          <w:kern w:val="36"/>
          <w:sz w:val="24"/>
          <w:szCs w:val="24"/>
          <w:lang w:eastAsia="es-CO"/>
        </w:rPr>
        <w:t>LEASING FINANCIERO VS. CRÉDITO</w:t>
      </w:r>
    </w:p>
    <w:p w:rsidR="00954B69" w:rsidRPr="00954B69" w:rsidRDefault="00954B69" w:rsidP="00954B69">
      <w:pPr>
        <w:shd w:val="clear" w:color="auto" w:fill="FFFFFF"/>
        <w:spacing w:after="0" w:line="240" w:lineRule="auto"/>
        <w:outlineLvl w:val="0"/>
        <w:rPr>
          <w:rFonts w:ascii="Trebuchet MS" w:eastAsia="Times New Roman" w:hAnsi="Trebuchet MS" w:cs="Times New Roman"/>
          <w:b/>
          <w:bCs/>
          <w:color w:val="00377E"/>
          <w:kern w:val="36"/>
          <w:sz w:val="21"/>
          <w:szCs w:val="21"/>
          <w:lang w:eastAsia="es-CO"/>
        </w:rPr>
      </w:pPr>
    </w:p>
    <w:tbl>
      <w:tblPr>
        <w:tblW w:w="7440" w:type="dxa"/>
        <w:jc w:val="center"/>
        <w:tblCellMar>
          <w:top w:w="15" w:type="dxa"/>
          <w:left w:w="15" w:type="dxa"/>
          <w:bottom w:w="15" w:type="dxa"/>
          <w:right w:w="15" w:type="dxa"/>
        </w:tblCellMar>
        <w:tblLook w:val="04A0" w:firstRow="1" w:lastRow="0" w:firstColumn="1" w:lastColumn="0" w:noHBand="0" w:noVBand="1"/>
      </w:tblPr>
      <w:tblGrid>
        <w:gridCol w:w="2383"/>
        <w:gridCol w:w="2549"/>
        <w:gridCol w:w="2508"/>
      </w:tblGrid>
      <w:tr w:rsidR="00954B69" w:rsidRPr="00954B69" w:rsidTr="00DC4BD1">
        <w:trPr>
          <w:tblHeader/>
          <w:jc w:val="center"/>
        </w:trPr>
        <w:tc>
          <w:tcPr>
            <w:tcW w:w="3645" w:type="dxa"/>
            <w:shd w:val="clear" w:color="auto" w:fill="666666"/>
            <w:tcMar>
              <w:top w:w="0" w:type="dxa"/>
              <w:left w:w="0" w:type="dxa"/>
              <w:bottom w:w="0" w:type="dxa"/>
              <w:right w:w="0" w:type="dxa"/>
            </w:tcMar>
            <w:hideMark/>
          </w:tcPr>
          <w:p w:rsidR="00954B69" w:rsidRPr="00954B69" w:rsidRDefault="00954B69" w:rsidP="00954B69">
            <w:pPr>
              <w:spacing w:after="0" w:line="240" w:lineRule="auto"/>
              <w:jc w:val="center"/>
              <w:rPr>
                <w:rFonts w:ascii="Segoe UI Light" w:eastAsia="Times New Roman" w:hAnsi="Segoe UI Light" w:cs="Times New Roman"/>
                <w:b/>
                <w:bCs/>
                <w:color w:val="FFFFFF"/>
                <w:sz w:val="18"/>
                <w:szCs w:val="18"/>
                <w:lang w:eastAsia="es-CO"/>
              </w:rPr>
            </w:pPr>
            <w:r w:rsidRPr="00954B69">
              <w:rPr>
                <w:rFonts w:ascii="Segoe UI Light" w:eastAsia="Times New Roman" w:hAnsi="Segoe UI Light" w:cs="Times New Roman"/>
                <w:b/>
                <w:bCs/>
                <w:color w:val="FFFFFF"/>
                <w:sz w:val="18"/>
                <w:szCs w:val="18"/>
                <w:lang w:eastAsia="es-CO"/>
              </w:rPr>
              <w:t>Conceptos relacionados</w:t>
            </w:r>
          </w:p>
        </w:tc>
        <w:tc>
          <w:tcPr>
            <w:tcW w:w="3645" w:type="dxa"/>
            <w:shd w:val="clear" w:color="auto" w:fill="666666"/>
            <w:tcMar>
              <w:top w:w="0" w:type="dxa"/>
              <w:left w:w="0" w:type="dxa"/>
              <w:bottom w:w="0" w:type="dxa"/>
              <w:right w:w="0" w:type="dxa"/>
            </w:tcMar>
            <w:hideMark/>
          </w:tcPr>
          <w:p w:rsidR="00954B69" w:rsidRPr="00954B69" w:rsidRDefault="00954B69" w:rsidP="00954B69">
            <w:pPr>
              <w:spacing w:after="0" w:line="240" w:lineRule="auto"/>
              <w:jc w:val="center"/>
              <w:rPr>
                <w:rFonts w:ascii="Segoe UI Light" w:eastAsia="Times New Roman" w:hAnsi="Segoe UI Light" w:cs="Times New Roman"/>
                <w:b/>
                <w:bCs/>
                <w:color w:val="FFFFFF"/>
                <w:sz w:val="18"/>
                <w:szCs w:val="18"/>
                <w:lang w:eastAsia="es-CO"/>
              </w:rPr>
            </w:pPr>
            <w:r w:rsidRPr="00954B69">
              <w:rPr>
                <w:rFonts w:ascii="Segoe UI Light" w:eastAsia="Times New Roman" w:hAnsi="Segoe UI Light" w:cs="Times New Roman"/>
                <w:b/>
                <w:bCs/>
                <w:color w:val="FFFFFF"/>
                <w:sz w:val="18"/>
                <w:szCs w:val="18"/>
                <w:lang w:eastAsia="es-CO"/>
              </w:rPr>
              <w:t>Leasing financiero</w:t>
            </w:r>
          </w:p>
        </w:tc>
        <w:tc>
          <w:tcPr>
            <w:tcW w:w="3645" w:type="dxa"/>
            <w:shd w:val="clear" w:color="auto" w:fill="666666"/>
            <w:tcMar>
              <w:top w:w="0" w:type="dxa"/>
              <w:left w:w="0" w:type="dxa"/>
              <w:bottom w:w="0" w:type="dxa"/>
              <w:right w:w="0" w:type="dxa"/>
            </w:tcMar>
            <w:hideMark/>
          </w:tcPr>
          <w:p w:rsidR="00954B69" w:rsidRPr="00954B69" w:rsidRDefault="00954B69" w:rsidP="00954B69">
            <w:pPr>
              <w:spacing w:after="0" w:line="240" w:lineRule="auto"/>
              <w:jc w:val="center"/>
              <w:rPr>
                <w:rFonts w:ascii="Segoe UI Light" w:eastAsia="Times New Roman" w:hAnsi="Segoe UI Light" w:cs="Times New Roman"/>
                <w:b/>
                <w:bCs/>
                <w:color w:val="FFFFFF"/>
                <w:sz w:val="18"/>
                <w:szCs w:val="18"/>
                <w:lang w:eastAsia="es-CO"/>
              </w:rPr>
            </w:pPr>
            <w:r w:rsidRPr="00954B69">
              <w:rPr>
                <w:rFonts w:ascii="Segoe UI Light" w:eastAsia="Times New Roman" w:hAnsi="Segoe UI Light" w:cs="Times New Roman"/>
                <w:b/>
                <w:bCs/>
                <w:color w:val="FFFFFF"/>
                <w:sz w:val="18"/>
                <w:szCs w:val="18"/>
                <w:lang w:eastAsia="es-CO"/>
              </w:rPr>
              <w:t>Crédito</w:t>
            </w:r>
          </w:p>
        </w:tc>
      </w:tr>
      <w:tr w:rsidR="00954B69" w:rsidRPr="00954B69" w:rsidTr="00954B69">
        <w:trPr>
          <w:jc w:val="center"/>
        </w:trPr>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Cuota inicial</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Se puede financiar hasta el 100% del valor del activo, incluido el IVA pagado en su adquisición</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Normalmente se exige una cuota inicial entre el 20% y el 30% del valor del activo.</w:t>
            </w:r>
          </w:p>
        </w:tc>
      </w:tr>
      <w:tr w:rsidR="00954B69" w:rsidRPr="00954B69" w:rsidTr="00954B69">
        <w:trPr>
          <w:jc w:val="center"/>
        </w:trPr>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Opción de Compra</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Por lo general está entre el 1% y 10% y se cancela al final del contrato.</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No aplica.</w:t>
            </w:r>
          </w:p>
        </w:tc>
      </w:tr>
      <w:tr w:rsidR="00954B69" w:rsidRPr="00954B69" w:rsidTr="00954B69">
        <w:trPr>
          <w:jc w:val="center"/>
        </w:trPr>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Propiedad del activo</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Durante la vida del contrato, el activo figura a nombre de la compañía de leasing</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El activo figura a su nombre o de la empresa que lo adquiere.</w:t>
            </w:r>
          </w:p>
        </w:tc>
      </w:tr>
      <w:tr w:rsidR="00954B69" w:rsidRPr="00954B69" w:rsidTr="00954B69">
        <w:trPr>
          <w:jc w:val="center"/>
        </w:trPr>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Influencia sobre patrimonio</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De acuerdo con la normatividad, para algunas empresas el leasing no incrementa el patrimonio, ni el índice de endeudamiento.</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El patrimonio bruto se incrementa en el mismo monto del valor del activo. De igual forma se genera un pasivo financiero.</w:t>
            </w:r>
          </w:p>
        </w:tc>
      </w:tr>
      <w:tr w:rsidR="00954B69" w:rsidRPr="00954B69" w:rsidTr="00954B69">
        <w:trPr>
          <w:jc w:val="center"/>
        </w:trPr>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Efecto sobre P y G</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De acuerdo con la normatividad vigente, para algunas empresas la totalidad del canon se puede contabilizar como un gasto.</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Sólo se puede contabilizar como gasto la parte correspondiente a intereses y a la depreciación del activo.</w:t>
            </w:r>
          </w:p>
        </w:tc>
      </w:tr>
      <w:tr w:rsidR="00954B69" w:rsidRPr="00954B69" w:rsidTr="00954B69">
        <w:trPr>
          <w:jc w:val="center"/>
        </w:trPr>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Tratamiento del IVA</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El IVA es un mayor valor del activo que se amortiza vía canon durante la vida del contrato.</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El IVA es un mayor valor del activo, se recupera vía depreciación en la vida útil del activo.</w:t>
            </w:r>
          </w:p>
        </w:tc>
      </w:tr>
      <w:tr w:rsidR="00954B69" w:rsidRPr="00954B69" w:rsidTr="00954B69">
        <w:trPr>
          <w:jc w:val="center"/>
        </w:trPr>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En el momento de vender el activo</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En caso de venta del activo, usted puede ejercer o ceder la opción de compra a un tercero sin incurrir en trámites y gastos de registro de la propiedad del activo, ya que este sigue a nombre de Leasing Bancolombia.</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En el momento de vender el activo lo debe hacer por el valor comercial, generando costos por traspaso cuando se trate de vehículos o inmuebles.</w:t>
            </w:r>
          </w:p>
        </w:tc>
      </w:tr>
      <w:tr w:rsidR="00954B69" w:rsidRPr="00954B69" w:rsidTr="00954B69">
        <w:trPr>
          <w:jc w:val="center"/>
        </w:trPr>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Impuesto de Timbre</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Genera impuesto de timbre por el valor del contrato si éste supera la cuantía mínima establecida por ley (sumatoria de los cánones más opción de compra).</w:t>
            </w:r>
          </w:p>
        </w:tc>
        <w:tc>
          <w:tcPr>
            <w:tcW w:w="3645" w:type="dxa"/>
            <w:shd w:val="clear" w:color="auto" w:fill="CCCCCC"/>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Genera impuesto de timbre sobre el capital si éste supera la cuantía mínima establecida por ley.  </w:t>
            </w:r>
          </w:p>
        </w:tc>
      </w:tr>
      <w:tr w:rsidR="00954B69" w:rsidRPr="00954B69" w:rsidTr="00954B69">
        <w:trPr>
          <w:jc w:val="center"/>
        </w:trPr>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Trámites para la operación</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El cliente obtiene acompañamiento en la compra del activo en diversos aspectos</w:t>
            </w:r>
          </w:p>
        </w:tc>
        <w:tc>
          <w:tcPr>
            <w:tcW w:w="3645" w:type="dxa"/>
            <w:shd w:val="clear" w:color="auto" w:fill="FFFFFF"/>
            <w:tcMar>
              <w:top w:w="30" w:type="dxa"/>
              <w:left w:w="30" w:type="dxa"/>
              <w:bottom w:w="30" w:type="dxa"/>
              <w:right w:w="30" w:type="dxa"/>
            </w:tcMar>
            <w:hideMark/>
          </w:tcPr>
          <w:p w:rsidR="00954B69" w:rsidRPr="00954B69" w:rsidRDefault="00954B69" w:rsidP="00954B69">
            <w:pPr>
              <w:spacing w:after="0" w:line="240" w:lineRule="auto"/>
              <w:rPr>
                <w:rFonts w:ascii="Segoe UI Light" w:eastAsia="Times New Roman" w:hAnsi="Segoe UI Light" w:cs="Times New Roman"/>
                <w:sz w:val="17"/>
                <w:szCs w:val="17"/>
                <w:lang w:eastAsia="es-CO"/>
              </w:rPr>
            </w:pPr>
            <w:r w:rsidRPr="00954B69">
              <w:rPr>
                <w:rFonts w:ascii="Segoe UI Light" w:eastAsia="Times New Roman" w:hAnsi="Segoe UI Light" w:cs="Times New Roman"/>
                <w:sz w:val="17"/>
                <w:szCs w:val="17"/>
                <w:lang w:eastAsia="es-CO"/>
              </w:rPr>
              <w:t>El cliente se encarga de la adquisición del activo a su nombre</w:t>
            </w:r>
          </w:p>
        </w:tc>
      </w:tr>
    </w:tbl>
    <w:p w:rsidR="00954B69" w:rsidRDefault="00954B69" w:rsidP="00954B69"/>
    <w:p w:rsidR="000937CD" w:rsidRDefault="000937CD" w:rsidP="00954B69">
      <w:r>
        <w:t xml:space="preserve">De acuerdo con </w:t>
      </w:r>
      <w:r w:rsidR="00E45E6D">
        <w:t xml:space="preserve">el cuadro anterior </w:t>
      </w:r>
      <w:r>
        <w:t>se presenta la siguiente situación:</w:t>
      </w:r>
    </w:p>
    <w:p w:rsidR="000937CD" w:rsidRDefault="000937CD" w:rsidP="00954B69"/>
    <w:p w:rsidR="002436EF" w:rsidRDefault="000937CD" w:rsidP="00D53601">
      <w:pPr>
        <w:jc w:val="both"/>
      </w:pPr>
      <w:r>
        <w:lastRenderedPageBreak/>
        <w:t xml:space="preserve">La compañía </w:t>
      </w:r>
      <w:r w:rsidR="003F6049">
        <w:t xml:space="preserve">Concretos Del Oriente </w:t>
      </w:r>
      <w:r w:rsidR="00B75173">
        <w:t xml:space="preserve">S.A </w:t>
      </w:r>
      <w:r>
        <w:t xml:space="preserve">sale favorecida para ejecutar la obra denominada </w:t>
      </w:r>
      <w:r w:rsidR="003F6049">
        <w:t xml:space="preserve">“Represa Del </w:t>
      </w:r>
      <w:r w:rsidR="00B75173">
        <w:t>Lago”</w:t>
      </w:r>
      <w:r w:rsidR="00460863">
        <w:t>,</w:t>
      </w:r>
      <w:r w:rsidR="00D53601">
        <w:t xml:space="preserve"> para el desarrollo de la misma requiere la compra de</w:t>
      </w:r>
      <w:r w:rsidR="003E6383">
        <w:t xml:space="preserve"> una </w:t>
      </w:r>
      <w:r w:rsidR="00D53601">
        <w:t xml:space="preserve">máquina perforadora de roca de diámetros </w:t>
      </w:r>
      <w:r w:rsidR="00460863">
        <w:t>especiales,</w:t>
      </w:r>
      <w:r w:rsidR="00D53601">
        <w:t xml:space="preserve"> </w:t>
      </w:r>
      <w:r w:rsidR="003020EF">
        <w:t xml:space="preserve">de la maquina requerida </w:t>
      </w:r>
      <w:r w:rsidR="003E6383">
        <w:t xml:space="preserve">según el depto. Técnico </w:t>
      </w:r>
      <w:r w:rsidR="003020EF">
        <w:t xml:space="preserve">se </w:t>
      </w:r>
      <w:r w:rsidR="003E6383">
        <w:t xml:space="preserve">conoce lo </w:t>
      </w:r>
      <w:r w:rsidR="008A11A4">
        <w:t>siguiente:</w:t>
      </w:r>
    </w:p>
    <w:p w:rsidR="000937CD" w:rsidRDefault="003E6383" w:rsidP="002436EF">
      <w:pPr>
        <w:pStyle w:val="Prrafodelista"/>
        <w:numPr>
          <w:ilvl w:val="0"/>
          <w:numId w:val="4"/>
        </w:numPr>
        <w:jc w:val="both"/>
      </w:pPr>
      <w:r>
        <w:t xml:space="preserve">El </w:t>
      </w:r>
      <w:r w:rsidR="00D53601">
        <w:t>país que las fabrica es Singapur</w:t>
      </w:r>
      <w:r w:rsidR="003020EF">
        <w:t xml:space="preserve"> donde se encuentra la fábrica Nipón Machine</w:t>
      </w:r>
      <w:r w:rsidR="00D53601">
        <w:t xml:space="preserve"> , quienes las distribuyen por el mundo, la compañía no cuanta con sucursales </w:t>
      </w:r>
      <w:r w:rsidR="003020EF">
        <w:t>en américa</w:t>
      </w:r>
      <w:r w:rsidR="00D53601">
        <w:t>,</w:t>
      </w:r>
      <w:r w:rsidR="003020EF">
        <w:t xml:space="preserve"> </w:t>
      </w:r>
    </w:p>
    <w:p w:rsidR="002436EF" w:rsidRDefault="003E6383" w:rsidP="002436EF">
      <w:pPr>
        <w:pStyle w:val="Prrafodelista"/>
        <w:numPr>
          <w:ilvl w:val="0"/>
          <w:numId w:val="4"/>
        </w:numPr>
        <w:jc w:val="both"/>
      </w:pPr>
      <w:r>
        <w:t xml:space="preserve">Son Maquinas Únicas en el </w:t>
      </w:r>
      <w:r w:rsidR="002436EF">
        <w:t xml:space="preserve"> mundo</w:t>
      </w:r>
      <w:r>
        <w:t xml:space="preserve"> y se fabrican sobre pedido</w:t>
      </w:r>
    </w:p>
    <w:p w:rsidR="002436EF" w:rsidRDefault="003E6383" w:rsidP="002436EF">
      <w:pPr>
        <w:pStyle w:val="Prrafodelista"/>
        <w:numPr>
          <w:ilvl w:val="0"/>
          <w:numId w:val="4"/>
        </w:numPr>
        <w:jc w:val="both"/>
      </w:pPr>
      <w:r>
        <w:t xml:space="preserve">Su </w:t>
      </w:r>
      <w:r w:rsidR="002436EF">
        <w:t>costo es elevado y se debe de pagar en euros</w:t>
      </w:r>
    </w:p>
    <w:p w:rsidR="008A11A4" w:rsidRDefault="008A11A4" w:rsidP="002436EF">
      <w:pPr>
        <w:pStyle w:val="Prrafodelista"/>
        <w:numPr>
          <w:ilvl w:val="0"/>
          <w:numId w:val="4"/>
        </w:numPr>
        <w:jc w:val="both"/>
      </w:pPr>
      <w:r>
        <w:t>El gasto por transporte es asumido por las dos partes ( comprador y vendedor)</w:t>
      </w:r>
    </w:p>
    <w:p w:rsidR="002436EF" w:rsidRDefault="002436EF" w:rsidP="002436EF">
      <w:pPr>
        <w:pStyle w:val="Prrafodelista"/>
        <w:jc w:val="both"/>
      </w:pPr>
    </w:p>
    <w:p w:rsidR="007F2187" w:rsidRPr="007F2187" w:rsidRDefault="004D2EE9" w:rsidP="002436EF">
      <w:pPr>
        <w:pStyle w:val="Prrafodelista"/>
        <w:jc w:val="both"/>
        <w:rPr>
          <w:b/>
        </w:rPr>
      </w:pPr>
      <w:r w:rsidRPr="007F2187">
        <w:rPr>
          <w:b/>
        </w:rPr>
        <w:t>Se</w:t>
      </w:r>
      <w:r w:rsidR="007F2187" w:rsidRPr="007F2187">
        <w:rPr>
          <w:b/>
        </w:rPr>
        <w:t xml:space="preserve"> requiere:</w:t>
      </w:r>
    </w:p>
    <w:p w:rsidR="007F2187" w:rsidRDefault="007F2187" w:rsidP="002436EF">
      <w:pPr>
        <w:pStyle w:val="Prrafodelista"/>
        <w:jc w:val="both"/>
      </w:pPr>
    </w:p>
    <w:p w:rsidR="003020EF" w:rsidRDefault="007F2187" w:rsidP="007F2187">
      <w:pPr>
        <w:pStyle w:val="Prrafodelista"/>
        <w:jc w:val="both"/>
      </w:pPr>
      <w:r>
        <w:t>Determinar que opción sería la más conveniente  para la compañía considerando que la gerencia administrativa se encuentra en el dilema si la compra bajo la modalidad de leasing o a solicita un crédito.</w:t>
      </w:r>
      <w:r w:rsidR="004D2EE9">
        <w:t xml:space="preserve"> Le ha solicitado su opinión para lo cual debe:</w:t>
      </w:r>
    </w:p>
    <w:p w:rsidR="004D2EE9" w:rsidRDefault="004D2EE9" w:rsidP="004D2EE9">
      <w:pPr>
        <w:pStyle w:val="Prrafodelista"/>
        <w:ind w:left="1440"/>
        <w:jc w:val="both"/>
      </w:pPr>
    </w:p>
    <w:p w:rsidR="004D2EE9" w:rsidRDefault="004D2EE9" w:rsidP="004D2EE9">
      <w:pPr>
        <w:pStyle w:val="Prrafodelista"/>
        <w:numPr>
          <w:ilvl w:val="0"/>
          <w:numId w:val="5"/>
        </w:numPr>
        <w:jc w:val="both"/>
      </w:pPr>
      <w:r>
        <w:t>recomendar cual es la mejor opción</w:t>
      </w:r>
    </w:p>
    <w:p w:rsidR="004D2EE9" w:rsidRDefault="004D2EE9" w:rsidP="004D2EE9">
      <w:pPr>
        <w:pStyle w:val="Prrafodelista"/>
        <w:numPr>
          <w:ilvl w:val="0"/>
          <w:numId w:val="5"/>
        </w:numPr>
        <w:jc w:val="both"/>
      </w:pPr>
      <w:r>
        <w:t>sustentar su recomendación</w:t>
      </w:r>
    </w:p>
    <w:p w:rsidR="00D86CFE" w:rsidRDefault="00D86CFE" w:rsidP="004D2EE9">
      <w:pPr>
        <w:pStyle w:val="Prrafodelista"/>
        <w:numPr>
          <w:ilvl w:val="0"/>
          <w:numId w:val="5"/>
        </w:numPr>
        <w:jc w:val="both"/>
      </w:pPr>
      <w:r>
        <w:t xml:space="preserve">elabore un cuadro comparativo  </w:t>
      </w:r>
      <w:r w:rsidR="00215C09">
        <w:t xml:space="preserve">que permita visualizar sus apreciaciones </w:t>
      </w:r>
      <w:r>
        <w:t xml:space="preserve">considerando las dos opciones de financiación: leasing y </w:t>
      </w:r>
      <w:r w:rsidR="00215C09">
        <w:t>crédito</w:t>
      </w:r>
    </w:p>
    <w:sectPr w:rsidR="00D86CFE" w:rsidSect="00DB459B">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2A" w:rsidRDefault="004B492A" w:rsidP="004B492A">
      <w:pPr>
        <w:spacing w:after="0" w:line="240" w:lineRule="auto"/>
      </w:pPr>
      <w:r>
        <w:separator/>
      </w:r>
    </w:p>
  </w:endnote>
  <w:endnote w:type="continuationSeparator" w:id="0">
    <w:p w:rsidR="004B492A" w:rsidRDefault="004B492A" w:rsidP="004B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2A" w:rsidRDefault="004B492A" w:rsidP="004B492A">
      <w:pPr>
        <w:spacing w:after="0" w:line="240" w:lineRule="auto"/>
      </w:pPr>
      <w:r>
        <w:separator/>
      </w:r>
    </w:p>
  </w:footnote>
  <w:footnote w:type="continuationSeparator" w:id="0">
    <w:p w:rsidR="004B492A" w:rsidRDefault="004B492A" w:rsidP="004B4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2A" w:rsidRDefault="004B492A" w:rsidP="004B492A">
    <w:pPr>
      <w:pStyle w:val="Encabezado"/>
      <w:spacing w:line="0" w:lineRule="atLeast"/>
      <w:rPr>
        <w:rFonts w:ascii="Calibri" w:eastAsia="Calibri" w:hAnsi="Calibri" w:cs="Times New Roman"/>
        <w:lang w:val="es-ES"/>
      </w:rPr>
    </w:pPr>
    <w:r>
      <w:rPr>
        <w:noProof/>
        <w:lang w:eastAsia="es-CO"/>
      </w:rPr>
      <w:drawing>
        <wp:anchor distT="0" distB="0" distL="114300" distR="114300" simplePos="0" relativeHeight="251658240" behindDoc="1" locked="0" layoutInCell="1" allowOverlap="1">
          <wp:simplePos x="0" y="0"/>
          <wp:positionH relativeFrom="column">
            <wp:posOffset>-97790</wp:posOffset>
          </wp:positionH>
          <wp:positionV relativeFrom="paragraph">
            <wp:posOffset>-177165</wp:posOffset>
          </wp:positionV>
          <wp:extent cx="1719580" cy="688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pic:spPr>
              </pic:pic>
            </a:graphicData>
          </a:graphic>
          <wp14:sizeRelH relativeFrom="page">
            <wp14:pctWidth>0</wp14:pctWidth>
          </wp14:sizeRelH>
          <wp14:sizeRelV relativeFrom="page">
            <wp14:pctHeight>0</wp14:pctHeight>
          </wp14:sizeRelV>
        </wp:anchor>
      </w:drawing>
    </w:r>
  </w:p>
  <w:p w:rsidR="004B492A" w:rsidRDefault="004B492A" w:rsidP="004B492A">
    <w:pPr>
      <w:tabs>
        <w:tab w:val="center" w:pos="4419"/>
        <w:tab w:val="right" w:pos="8838"/>
      </w:tabs>
      <w:spacing w:line="0" w:lineRule="atLeast"/>
      <w:contextualSpacing/>
      <w:jc w:val="right"/>
      <w:rPr>
        <w:rFonts w:ascii="Segoe UI Light" w:eastAsia="Calibri" w:hAnsi="Segoe UI Light" w:cs="Times New Roman"/>
        <w:b/>
        <w:sz w:val="18"/>
        <w:szCs w:val="18"/>
        <w:lang w:val="es-ES"/>
      </w:rPr>
    </w:pPr>
    <w:r>
      <w:rPr>
        <w:rFonts w:ascii="Segoe UI Light" w:eastAsia="Calibri" w:hAnsi="Segoe UI Light" w:cs="Times New Roman"/>
        <w:b/>
        <w:sz w:val="18"/>
        <w:szCs w:val="18"/>
        <w:lang w:val="es-ES"/>
      </w:rPr>
      <w:t xml:space="preserve">Docente: PEDRO FRANCISCO CASSETTA </w:t>
    </w:r>
  </w:p>
  <w:p w:rsidR="004B492A" w:rsidRDefault="004B492A" w:rsidP="004B492A">
    <w:pPr>
      <w:tabs>
        <w:tab w:val="center" w:pos="4419"/>
        <w:tab w:val="right" w:pos="8838"/>
      </w:tabs>
      <w:spacing w:line="0" w:lineRule="atLeast"/>
      <w:contextualSpacing/>
      <w:jc w:val="right"/>
      <w:rPr>
        <w:rFonts w:ascii="Segoe UI Light" w:eastAsia="Calibri" w:hAnsi="Segoe UI Light" w:cs="Times New Roman"/>
        <w:b/>
        <w:sz w:val="18"/>
        <w:szCs w:val="18"/>
        <w:lang w:val="es-ES"/>
      </w:rPr>
    </w:pPr>
    <w:r>
      <w:rPr>
        <w:rFonts w:ascii="Segoe UI Light" w:eastAsia="Calibri" w:hAnsi="Segoe UI Light" w:cs="Times New Roman"/>
        <w:b/>
        <w:sz w:val="18"/>
        <w:szCs w:val="18"/>
        <w:lang w:val="es-ES"/>
      </w:rPr>
      <w:t xml:space="preserve">CONTADOR PÚBLICO </w:t>
    </w:r>
  </w:p>
  <w:p w:rsidR="004B492A" w:rsidRDefault="004B492A" w:rsidP="004B492A">
    <w:pPr>
      <w:tabs>
        <w:tab w:val="center" w:pos="4419"/>
        <w:tab w:val="right" w:pos="8838"/>
      </w:tabs>
      <w:spacing w:line="0" w:lineRule="atLeast"/>
      <w:ind w:left="720"/>
      <w:contextualSpacing/>
      <w:jc w:val="right"/>
      <w:rPr>
        <w:rFonts w:ascii="Segoe UI Light" w:eastAsia="Calibri" w:hAnsi="Segoe UI Light" w:cs="Times New Roman"/>
        <w:b/>
        <w:sz w:val="18"/>
        <w:szCs w:val="18"/>
      </w:rPr>
    </w:pPr>
    <w:proofErr w:type="spellStart"/>
    <w:r>
      <w:rPr>
        <w:rFonts w:ascii="Segoe UI Light" w:eastAsia="Calibri" w:hAnsi="Segoe UI Light" w:cs="Times New Roman"/>
        <w:b/>
        <w:sz w:val="18"/>
        <w:szCs w:val="18"/>
        <w:lang w:val="es-ES"/>
      </w:rPr>
      <w:t>Dte</w:t>
    </w:r>
    <w:proofErr w:type="spellEnd"/>
    <w:r>
      <w:rPr>
        <w:rFonts w:ascii="Segoe UI Light" w:eastAsia="Calibri" w:hAnsi="Segoe UI Light" w:cs="Times New Roman"/>
        <w:b/>
        <w:sz w:val="18"/>
        <w:szCs w:val="18"/>
        <w:lang w:val="es-ES"/>
      </w:rPr>
      <w:t>. PhD en ciencias económicas U. Habana -Cuba</w:t>
    </w:r>
  </w:p>
  <w:p w:rsidR="004B492A" w:rsidRDefault="004B49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C95"/>
    <w:multiLevelType w:val="hybridMultilevel"/>
    <w:tmpl w:val="B27A7014"/>
    <w:lvl w:ilvl="0" w:tplc="5282BAE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BF0835"/>
    <w:multiLevelType w:val="hybridMultilevel"/>
    <w:tmpl w:val="F2287A40"/>
    <w:lvl w:ilvl="0" w:tplc="79508F2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B205CCA"/>
    <w:multiLevelType w:val="hybridMultilevel"/>
    <w:tmpl w:val="F9D6124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6ADF4522"/>
    <w:multiLevelType w:val="hybridMultilevel"/>
    <w:tmpl w:val="1B562D0A"/>
    <w:lvl w:ilvl="0" w:tplc="5B926F9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ED1CA0"/>
    <w:multiLevelType w:val="hybridMultilevel"/>
    <w:tmpl w:val="B27A7014"/>
    <w:lvl w:ilvl="0" w:tplc="5282BAE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A6"/>
    <w:rsid w:val="00027978"/>
    <w:rsid w:val="000937CD"/>
    <w:rsid w:val="00114556"/>
    <w:rsid w:val="001A5B58"/>
    <w:rsid w:val="001E2D88"/>
    <w:rsid w:val="00215C09"/>
    <w:rsid w:val="002436EF"/>
    <w:rsid w:val="002B737E"/>
    <w:rsid w:val="002F1291"/>
    <w:rsid w:val="003020EF"/>
    <w:rsid w:val="00327E8E"/>
    <w:rsid w:val="00371BD8"/>
    <w:rsid w:val="00384CF8"/>
    <w:rsid w:val="003B1AA7"/>
    <w:rsid w:val="003D396B"/>
    <w:rsid w:val="003D6F5B"/>
    <w:rsid w:val="003E6383"/>
    <w:rsid w:val="003F4480"/>
    <w:rsid w:val="003F6049"/>
    <w:rsid w:val="00445F5A"/>
    <w:rsid w:val="00460863"/>
    <w:rsid w:val="004B492A"/>
    <w:rsid w:val="004D00EC"/>
    <w:rsid w:val="004D2EE9"/>
    <w:rsid w:val="0060710C"/>
    <w:rsid w:val="006339E4"/>
    <w:rsid w:val="006C0CF5"/>
    <w:rsid w:val="006C5A95"/>
    <w:rsid w:val="00766385"/>
    <w:rsid w:val="007C71EF"/>
    <w:rsid w:val="007F2187"/>
    <w:rsid w:val="00890692"/>
    <w:rsid w:val="008A11A4"/>
    <w:rsid w:val="009101B9"/>
    <w:rsid w:val="00930F8B"/>
    <w:rsid w:val="00954B69"/>
    <w:rsid w:val="009E2B7F"/>
    <w:rsid w:val="00A16EAD"/>
    <w:rsid w:val="00A3227A"/>
    <w:rsid w:val="00B75173"/>
    <w:rsid w:val="00BA5DDC"/>
    <w:rsid w:val="00C43BA5"/>
    <w:rsid w:val="00CB1B5F"/>
    <w:rsid w:val="00CF7DEB"/>
    <w:rsid w:val="00D17521"/>
    <w:rsid w:val="00D53601"/>
    <w:rsid w:val="00D86CFE"/>
    <w:rsid w:val="00DB31A6"/>
    <w:rsid w:val="00DB459B"/>
    <w:rsid w:val="00DC4BD1"/>
    <w:rsid w:val="00DC7015"/>
    <w:rsid w:val="00E17E32"/>
    <w:rsid w:val="00E45E6D"/>
    <w:rsid w:val="00F00A30"/>
    <w:rsid w:val="00FB1748"/>
    <w:rsid w:val="00FF63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27A"/>
    <w:pPr>
      <w:ind w:left="720"/>
      <w:contextualSpacing/>
    </w:pPr>
  </w:style>
  <w:style w:type="character" w:styleId="Textoennegrita">
    <w:name w:val="Strong"/>
    <w:basedOn w:val="Fuentedeprrafopredeter"/>
    <w:uiPriority w:val="22"/>
    <w:qFormat/>
    <w:rsid w:val="00384CF8"/>
    <w:rPr>
      <w:b/>
      <w:bCs/>
    </w:rPr>
  </w:style>
  <w:style w:type="paragraph" w:styleId="Encabezado">
    <w:name w:val="header"/>
    <w:basedOn w:val="Normal"/>
    <w:link w:val="EncabezadoCar"/>
    <w:uiPriority w:val="99"/>
    <w:unhideWhenUsed/>
    <w:rsid w:val="004B49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92A"/>
  </w:style>
  <w:style w:type="paragraph" w:styleId="Piedepgina">
    <w:name w:val="footer"/>
    <w:basedOn w:val="Normal"/>
    <w:link w:val="PiedepginaCar"/>
    <w:uiPriority w:val="99"/>
    <w:unhideWhenUsed/>
    <w:rsid w:val="004B49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492A"/>
  </w:style>
  <w:style w:type="character" w:customStyle="1" w:styleId="Ttulo1Car">
    <w:name w:val="Título 1 Car"/>
    <w:basedOn w:val="Fuentedeprrafopredeter"/>
    <w:link w:val="Ttulo1"/>
    <w:uiPriority w:val="9"/>
    <w:rsid w:val="00954B6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C43B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3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54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27A"/>
    <w:pPr>
      <w:ind w:left="720"/>
      <w:contextualSpacing/>
    </w:pPr>
  </w:style>
  <w:style w:type="character" w:styleId="Textoennegrita">
    <w:name w:val="Strong"/>
    <w:basedOn w:val="Fuentedeprrafopredeter"/>
    <w:uiPriority w:val="22"/>
    <w:qFormat/>
    <w:rsid w:val="00384CF8"/>
    <w:rPr>
      <w:b/>
      <w:bCs/>
    </w:rPr>
  </w:style>
  <w:style w:type="paragraph" w:styleId="Encabezado">
    <w:name w:val="header"/>
    <w:basedOn w:val="Normal"/>
    <w:link w:val="EncabezadoCar"/>
    <w:uiPriority w:val="99"/>
    <w:unhideWhenUsed/>
    <w:rsid w:val="004B49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492A"/>
  </w:style>
  <w:style w:type="paragraph" w:styleId="Piedepgina">
    <w:name w:val="footer"/>
    <w:basedOn w:val="Normal"/>
    <w:link w:val="PiedepginaCar"/>
    <w:uiPriority w:val="99"/>
    <w:unhideWhenUsed/>
    <w:rsid w:val="004B49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492A"/>
  </w:style>
  <w:style w:type="character" w:customStyle="1" w:styleId="Ttulo1Car">
    <w:name w:val="Título 1 Car"/>
    <w:basedOn w:val="Fuentedeprrafopredeter"/>
    <w:link w:val="Ttulo1"/>
    <w:uiPriority w:val="9"/>
    <w:rsid w:val="00954B6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C43B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3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800">
      <w:bodyDiv w:val="1"/>
      <w:marLeft w:val="0"/>
      <w:marRight w:val="0"/>
      <w:marTop w:val="0"/>
      <w:marBottom w:val="0"/>
      <w:divBdr>
        <w:top w:val="none" w:sz="0" w:space="0" w:color="auto"/>
        <w:left w:val="none" w:sz="0" w:space="0" w:color="auto"/>
        <w:bottom w:val="none" w:sz="0" w:space="0" w:color="auto"/>
        <w:right w:val="none" w:sz="0" w:space="0" w:color="auto"/>
      </w:divBdr>
    </w:div>
    <w:div w:id="233778041">
      <w:bodyDiv w:val="1"/>
      <w:marLeft w:val="0"/>
      <w:marRight w:val="0"/>
      <w:marTop w:val="0"/>
      <w:marBottom w:val="0"/>
      <w:divBdr>
        <w:top w:val="none" w:sz="0" w:space="0" w:color="auto"/>
        <w:left w:val="none" w:sz="0" w:space="0" w:color="auto"/>
        <w:bottom w:val="none" w:sz="0" w:space="0" w:color="auto"/>
        <w:right w:val="none" w:sz="0" w:space="0" w:color="auto"/>
      </w:divBdr>
    </w:div>
    <w:div w:id="629365415">
      <w:bodyDiv w:val="1"/>
      <w:marLeft w:val="0"/>
      <w:marRight w:val="0"/>
      <w:marTop w:val="0"/>
      <w:marBottom w:val="0"/>
      <w:divBdr>
        <w:top w:val="none" w:sz="0" w:space="0" w:color="auto"/>
        <w:left w:val="none" w:sz="0" w:space="0" w:color="auto"/>
        <w:bottom w:val="none" w:sz="0" w:space="0" w:color="auto"/>
        <w:right w:val="none" w:sz="0" w:space="0" w:color="auto"/>
      </w:divBdr>
    </w:div>
    <w:div w:id="8105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Auditor3</cp:lastModifiedBy>
  <cp:revision>27</cp:revision>
  <dcterms:created xsi:type="dcterms:W3CDTF">2013-02-21T14:53:00Z</dcterms:created>
  <dcterms:modified xsi:type="dcterms:W3CDTF">2013-02-21T15:08:00Z</dcterms:modified>
</cp:coreProperties>
</file>